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3817D3" w:rsidP="00C57251">
      <w:pPr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3943531</wp:posOffset>
            </wp:positionH>
            <wp:positionV relativeFrom="paragraph">
              <wp:posOffset>-273503</wp:posOffset>
            </wp:positionV>
            <wp:extent cx="2560955" cy="1059815"/>
            <wp:effectExtent l="0" t="0" r="0" b="6985"/>
            <wp:wrapNone/>
            <wp:docPr id="3" name="Picture 3" descr="C:\Users\gedwards-cole\Downloads\New fu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edwards-cole\Downloads\New full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955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B16B37" w:rsidRPr="00B16B37">
        <w:t xml:space="preserve">French </w:t>
      </w:r>
    </w:p>
    <w:p w:rsidR="00C57251" w:rsidRDefault="00C57251">
      <w:pPr>
        <w:rPr>
          <w:b/>
        </w:rPr>
      </w:pPr>
      <w:r w:rsidRPr="00C57251">
        <w:rPr>
          <w:b/>
        </w:rPr>
        <w:t>Unit:</w:t>
      </w:r>
      <w:r w:rsidR="00653455">
        <w:rPr>
          <w:b/>
        </w:rPr>
        <w:t xml:space="preserve"> The Future</w:t>
      </w:r>
      <w:r w:rsidR="00D51659">
        <w:rPr>
          <w:b/>
        </w:rPr>
        <w:t xml:space="preserve">   </w:t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="00B451B1"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AE1DDA" w:rsidRPr="00783510" w:rsidRDefault="00AE1DDA" w:rsidP="00AE1DDA">
            <w:pPr>
              <w:pStyle w:val="NoSpacing"/>
              <w:numPr>
                <w:ilvl w:val="0"/>
                <w:numId w:val="6"/>
              </w:numPr>
            </w:pPr>
            <w:r w:rsidRPr="00783510">
              <w:rPr>
                <w:lang w:val="en-US"/>
              </w:rPr>
              <w:t xml:space="preserve">be able to ask questions in the future tense. </w:t>
            </w:r>
          </w:p>
          <w:p w:rsidR="00AE1DDA" w:rsidRPr="00783510" w:rsidRDefault="00AE1DDA" w:rsidP="00AE1DDA">
            <w:pPr>
              <w:pStyle w:val="NoSpacing"/>
              <w:numPr>
                <w:ilvl w:val="0"/>
                <w:numId w:val="6"/>
              </w:numPr>
            </w:pPr>
            <w:r w:rsidRPr="00783510">
              <w:rPr>
                <w:lang w:val="en-US"/>
              </w:rPr>
              <w:t>be able to answer questions in the future tense.</w:t>
            </w:r>
          </w:p>
          <w:p w:rsidR="00AE1DDA" w:rsidRPr="00783510" w:rsidRDefault="00AE1DDA" w:rsidP="00AE1DDA">
            <w:pPr>
              <w:pStyle w:val="NoSpacing"/>
              <w:numPr>
                <w:ilvl w:val="0"/>
                <w:numId w:val="6"/>
              </w:numPr>
            </w:pPr>
            <w:r w:rsidRPr="00783510">
              <w:rPr>
                <w:lang w:val="en-US"/>
              </w:rPr>
              <w:t xml:space="preserve">be able to use different words to say how I am feeling. </w:t>
            </w:r>
          </w:p>
          <w:p w:rsidR="00AE1DDA" w:rsidRPr="00783510" w:rsidRDefault="00AE1DDA" w:rsidP="00AE1DDA">
            <w:pPr>
              <w:pStyle w:val="NoSpacing"/>
              <w:numPr>
                <w:ilvl w:val="0"/>
                <w:numId w:val="6"/>
              </w:numPr>
            </w:pPr>
            <w:r w:rsidRPr="00783510">
              <w:rPr>
                <w:lang w:val="en-US"/>
              </w:rPr>
              <w:t xml:space="preserve">be able to name different jobs in both masculine and feminine form. </w:t>
            </w:r>
          </w:p>
          <w:p w:rsidR="00AE1DDA" w:rsidRPr="00783510" w:rsidRDefault="00AE1DDA" w:rsidP="00AE1DDA">
            <w:pPr>
              <w:pStyle w:val="NoSpacing"/>
              <w:numPr>
                <w:ilvl w:val="0"/>
                <w:numId w:val="6"/>
              </w:numPr>
            </w:pPr>
            <w:r w:rsidRPr="00783510">
              <w:rPr>
                <w:lang w:val="en-US"/>
              </w:rPr>
              <w:t>say who works where.</w:t>
            </w:r>
          </w:p>
          <w:p w:rsidR="00AE1DDA" w:rsidRPr="00D172C8" w:rsidRDefault="00AE1DDA" w:rsidP="00AE1DDA">
            <w:pPr>
              <w:pStyle w:val="NoSpacing"/>
              <w:numPr>
                <w:ilvl w:val="0"/>
                <w:numId w:val="6"/>
              </w:numPr>
            </w:pPr>
            <w:r w:rsidRPr="00783510">
              <w:rPr>
                <w:lang w:val="en-US"/>
              </w:rPr>
              <w:t xml:space="preserve">be able to say what I want to do </w:t>
            </w:r>
          </w:p>
          <w:p w:rsidR="00D172C8" w:rsidRPr="00783510" w:rsidRDefault="00D172C8" w:rsidP="00D172C8">
            <w:pPr>
              <w:pStyle w:val="NoSpacing"/>
            </w:pPr>
            <w:r>
              <w:t>Grammar:</w:t>
            </w:r>
          </w:p>
          <w:p w:rsidR="00C17B78" w:rsidRDefault="00AE1DDA" w:rsidP="00AE1DDA">
            <w:pPr>
              <w:pStyle w:val="ListParagraph"/>
              <w:numPr>
                <w:ilvl w:val="0"/>
                <w:numId w:val="6"/>
              </w:numPr>
            </w:pPr>
            <w:r>
              <w:rPr>
                <w:lang w:val="en-US"/>
              </w:rPr>
              <w:t>Immediate future tense and explain how it is formed.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8"/>
        <w:gridCol w:w="3712"/>
        <w:gridCol w:w="4956"/>
      </w:tblGrid>
      <w:tr w:rsidR="00CF1A6A" w:rsidTr="00CF1A6A">
        <w:tc>
          <w:tcPr>
            <w:tcW w:w="178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3712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956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CF1A6A" w:rsidTr="00CF1A6A">
        <w:tc>
          <w:tcPr>
            <w:tcW w:w="1788" w:type="dxa"/>
          </w:tcPr>
          <w:p w:rsidR="00C57251" w:rsidRDefault="00B16B37" w:rsidP="003C4736">
            <w:pPr>
              <w:jc w:val="center"/>
            </w:pPr>
            <w:r>
              <w:t>1</w:t>
            </w:r>
          </w:p>
        </w:tc>
        <w:tc>
          <w:tcPr>
            <w:tcW w:w="3712" w:type="dxa"/>
          </w:tcPr>
          <w:p w:rsidR="00DF20A8" w:rsidRDefault="000D080B" w:rsidP="00DF20A8">
            <w:pPr>
              <w:pStyle w:val="ListParagraph"/>
              <w:numPr>
                <w:ilvl w:val="0"/>
                <w:numId w:val="1"/>
              </w:numPr>
            </w:pPr>
            <w:r>
              <w:t xml:space="preserve">Unit introduction </w:t>
            </w:r>
          </w:p>
        </w:tc>
        <w:tc>
          <w:tcPr>
            <w:tcW w:w="4956" w:type="dxa"/>
          </w:tcPr>
          <w:p w:rsidR="0044588C" w:rsidRDefault="000D080B" w:rsidP="000D080B">
            <w:pPr>
              <w:pStyle w:val="ListParagraph"/>
              <w:numPr>
                <w:ilvl w:val="0"/>
                <w:numId w:val="1"/>
              </w:numPr>
            </w:pPr>
            <w:r>
              <w:t xml:space="preserve">Share key text - what could the unit be about? </w:t>
            </w:r>
          </w:p>
          <w:p w:rsidR="00CF1A6A" w:rsidRDefault="00CF1A6A" w:rsidP="000D080B">
            <w:pPr>
              <w:pStyle w:val="ListParagraph"/>
              <w:numPr>
                <w:ilvl w:val="0"/>
                <w:numId w:val="1"/>
              </w:numPr>
            </w:pPr>
            <w:r>
              <w:t xml:space="preserve">Give children different examples of the French statements from the pages and ask children to try and decode what is being said. Can they annotate to show nouns/ verbs/ articles? Any words they know? Children can use the online dictionary to search for any unknown words. Share findings. </w:t>
            </w:r>
          </w:p>
        </w:tc>
      </w:tr>
      <w:tr w:rsidR="00CF1A6A" w:rsidTr="00CF1A6A">
        <w:tc>
          <w:tcPr>
            <w:tcW w:w="1788" w:type="dxa"/>
          </w:tcPr>
          <w:p w:rsidR="00C57251" w:rsidRDefault="00B16B37" w:rsidP="003C4736">
            <w:pPr>
              <w:jc w:val="center"/>
            </w:pPr>
            <w:r>
              <w:t>2</w:t>
            </w:r>
          </w:p>
        </w:tc>
        <w:tc>
          <w:tcPr>
            <w:tcW w:w="3712" w:type="dxa"/>
          </w:tcPr>
          <w:p w:rsidR="00DF20A8" w:rsidRDefault="000D080B" w:rsidP="003C4736">
            <w:pPr>
              <w:pStyle w:val="ListParagraph"/>
              <w:numPr>
                <w:ilvl w:val="0"/>
                <w:numId w:val="2"/>
              </w:numPr>
            </w:pPr>
            <w:r>
              <w:t xml:space="preserve">I’m going </w:t>
            </w:r>
          </w:p>
        </w:tc>
        <w:tc>
          <w:tcPr>
            <w:tcW w:w="4956" w:type="dxa"/>
          </w:tcPr>
          <w:p w:rsidR="0044588C" w:rsidRDefault="00CF1A6A" w:rsidP="00CF1A6A">
            <w:pPr>
              <w:pStyle w:val="ListParagraph"/>
              <w:numPr>
                <w:ilvl w:val="0"/>
                <w:numId w:val="2"/>
              </w:numPr>
            </w:pPr>
            <w:r>
              <w:t>The Future Lesson 1</w:t>
            </w:r>
          </w:p>
          <w:p w:rsidR="00CF1A6A" w:rsidRDefault="00CF1A6A" w:rsidP="00CF1A6A">
            <w:pPr>
              <w:pStyle w:val="ListParagraph"/>
              <w:ind w:left="360"/>
            </w:pPr>
            <w:r>
              <w:t xml:space="preserve">Present new vocab and use some of the games to explore. </w:t>
            </w:r>
          </w:p>
          <w:p w:rsidR="00CF1A6A" w:rsidRDefault="00CF1A6A" w:rsidP="00CF1A6A">
            <w:pPr>
              <w:pStyle w:val="ListParagraph"/>
              <w:ind w:left="360"/>
            </w:pPr>
            <w:r>
              <w:t xml:space="preserve">Focus on the question and answer section so children become familiar with answering what they will be doing. </w:t>
            </w:r>
          </w:p>
          <w:p w:rsidR="00CF1A6A" w:rsidRDefault="00CF1A6A" w:rsidP="00CF1A6A">
            <w:pPr>
              <w:pStyle w:val="ListParagraph"/>
              <w:ind w:left="360"/>
            </w:pPr>
            <w:r>
              <w:t xml:space="preserve">Use the song to secure understanding as well </w:t>
            </w:r>
          </w:p>
        </w:tc>
      </w:tr>
      <w:tr w:rsidR="00CF1A6A" w:rsidTr="00CF1A6A">
        <w:tc>
          <w:tcPr>
            <w:tcW w:w="1788" w:type="dxa"/>
          </w:tcPr>
          <w:p w:rsidR="00C57251" w:rsidRDefault="00B16B37" w:rsidP="003C4736">
            <w:pPr>
              <w:jc w:val="center"/>
            </w:pPr>
            <w:r>
              <w:t>3</w:t>
            </w:r>
          </w:p>
        </w:tc>
        <w:tc>
          <w:tcPr>
            <w:tcW w:w="3712" w:type="dxa"/>
          </w:tcPr>
          <w:p w:rsidR="00DF20A8" w:rsidRDefault="000D080B" w:rsidP="000422C4">
            <w:pPr>
              <w:pStyle w:val="ListParagraph"/>
              <w:numPr>
                <w:ilvl w:val="0"/>
                <w:numId w:val="3"/>
              </w:numPr>
            </w:pPr>
            <w:r>
              <w:t>This weekend</w:t>
            </w:r>
          </w:p>
        </w:tc>
        <w:tc>
          <w:tcPr>
            <w:tcW w:w="4956" w:type="dxa"/>
          </w:tcPr>
          <w:p w:rsidR="0044588C" w:rsidRDefault="00CF1A6A" w:rsidP="00CF1A6A">
            <w:pPr>
              <w:pStyle w:val="ListParagraph"/>
              <w:numPr>
                <w:ilvl w:val="0"/>
                <w:numId w:val="3"/>
              </w:numPr>
            </w:pPr>
            <w:r>
              <w:t xml:space="preserve">The Future Lesson 2 </w:t>
            </w:r>
          </w:p>
          <w:p w:rsidR="00CF1A6A" w:rsidRDefault="00CF1A6A" w:rsidP="00CF1A6A">
            <w:pPr>
              <w:pStyle w:val="ListParagraph"/>
              <w:ind w:left="360"/>
            </w:pPr>
            <w:r>
              <w:t>Present vocab and use question and answer to familiarise children with how to respond</w:t>
            </w:r>
          </w:p>
          <w:p w:rsidR="00CF1A6A" w:rsidRDefault="00CF1A6A" w:rsidP="00CF1A6A">
            <w:pPr>
              <w:pStyle w:val="ListParagraph"/>
              <w:ind w:left="360"/>
            </w:pPr>
            <w:r>
              <w:t xml:space="preserve"> to the question what will they be doing at the weekend? </w:t>
            </w:r>
          </w:p>
          <w:p w:rsidR="00CF1A6A" w:rsidRDefault="00CF1A6A" w:rsidP="00CF1A6A">
            <w:pPr>
              <w:pStyle w:val="ListParagraph"/>
              <w:ind w:left="360"/>
            </w:pPr>
            <w:r>
              <w:t xml:space="preserve">Then move to question and answer for what are we going to do? Focus on the use of on here for we </w:t>
            </w:r>
          </w:p>
          <w:p w:rsidR="00CF1A6A" w:rsidRDefault="00CF1A6A" w:rsidP="00CF1A6A">
            <w:pPr>
              <w:pStyle w:val="ListParagraph"/>
              <w:ind w:left="360"/>
            </w:pPr>
            <w:r>
              <w:t>Children to respond in books to:</w:t>
            </w:r>
          </w:p>
          <w:p w:rsidR="00CF1A6A" w:rsidRDefault="00CF1A6A" w:rsidP="00CF1A6A">
            <w:pPr>
              <w:pStyle w:val="ListParagraph"/>
              <w:ind w:left="360"/>
            </w:pPr>
            <w:r>
              <w:rPr>
                <w:noProof/>
              </w:rPr>
              <w:drawing>
                <wp:inline distT="0" distB="0" distL="0" distR="0" wp14:anchorId="131D6DF9" wp14:editId="76FB8BEF">
                  <wp:extent cx="2774950" cy="542741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265" cy="55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A6A" w:rsidTr="00CF1A6A">
        <w:tc>
          <w:tcPr>
            <w:tcW w:w="1788" w:type="dxa"/>
          </w:tcPr>
          <w:p w:rsidR="00264A38" w:rsidRDefault="00D172C8" w:rsidP="003C4736">
            <w:pPr>
              <w:jc w:val="center"/>
            </w:pPr>
            <w:r>
              <w:t>4</w:t>
            </w:r>
          </w:p>
        </w:tc>
        <w:tc>
          <w:tcPr>
            <w:tcW w:w="3712" w:type="dxa"/>
          </w:tcPr>
          <w:p w:rsidR="00264A38" w:rsidRDefault="000D080B" w:rsidP="007C61A0">
            <w:pPr>
              <w:pStyle w:val="ListParagraph"/>
              <w:numPr>
                <w:ilvl w:val="0"/>
                <w:numId w:val="5"/>
              </w:numPr>
            </w:pPr>
            <w:r>
              <w:t xml:space="preserve">I want to be an astronaut </w:t>
            </w:r>
          </w:p>
        </w:tc>
        <w:tc>
          <w:tcPr>
            <w:tcW w:w="4956" w:type="dxa"/>
          </w:tcPr>
          <w:p w:rsidR="00742B57" w:rsidRDefault="00955CFF" w:rsidP="00955CFF">
            <w:pPr>
              <w:pStyle w:val="ListParagraph"/>
              <w:numPr>
                <w:ilvl w:val="0"/>
                <w:numId w:val="5"/>
              </w:numPr>
            </w:pPr>
            <w:r>
              <w:t xml:space="preserve">Jobs Unit U Lesson 1 </w:t>
            </w:r>
          </w:p>
          <w:p w:rsidR="00955CFF" w:rsidRDefault="00955CFF" w:rsidP="00955CFF">
            <w:pPr>
              <w:pStyle w:val="ListParagraph"/>
              <w:ind w:left="360"/>
            </w:pPr>
            <w:r>
              <w:t xml:space="preserve">Present vocabulary and use question and answer for how to respond to the question what do you want to be? </w:t>
            </w:r>
          </w:p>
          <w:p w:rsidR="00955CFF" w:rsidRDefault="00955CFF" w:rsidP="00955CFF">
            <w:pPr>
              <w:pStyle w:val="ListParagraph"/>
              <w:ind w:left="360"/>
            </w:pPr>
            <w:r>
              <w:t xml:space="preserve">Use song to reinforce key vocabulary </w:t>
            </w:r>
          </w:p>
          <w:p w:rsidR="00955CFF" w:rsidRDefault="00955CFF" w:rsidP="00955CFF">
            <w:pPr>
              <w:pStyle w:val="ListParagraph"/>
              <w:ind w:left="360"/>
            </w:pPr>
          </w:p>
        </w:tc>
      </w:tr>
      <w:tr w:rsidR="00B54740" w:rsidTr="00CF1A6A">
        <w:tc>
          <w:tcPr>
            <w:tcW w:w="1788" w:type="dxa"/>
          </w:tcPr>
          <w:p w:rsidR="00B54740" w:rsidRDefault="00D172C8" w:rsidP="00B54740">
            <w:pPr>
              <w:jc w:val="center"/>
            </w:pPr>
            <w:r>
              <w:t>5</w:t>
            </w:r>
          </w:p>
        </w:tc>
        <w:tc>
          <w:tcPr>
            <w:tcW w:w="3712" w:type="dxa"/>
          </w:tcPr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 xml:space="preserve">Jobs- future tense further explored </w:t>
            </w:r>
          </w:p>
        </w:tc>
        <w:tc>
          <w:tcPr>
            <w:tcW w:w="4956" w:type="dxa"/>
          </w:tcPr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 xml:space="preserve">Use PowerPoint and resources saved in folder </w:t>
            </w:r>
          </w:p>
        </w:tc>
      </w:tr>
      <w:tr w:rsidR="00B54740" w:rsidTr="00CF1A6A">
        <w:tc>
          <w:tcPr>
            <w:tcW w:w="1788" w:type="dxa"/>
          </w:tcPr>
          <w:p w:rsidR="00B54740" w:rsidRDefault="00D172C8" w:rsidP="00B54740">
            <w:pPr>
              <w:jc w:val="center"/>
            </w:pPr>
            <w:r>
              <w:t>6</w:t>
            </w:r>
          </w:p>
        </w:tc>
        <w:tc>
          <w:tcPr>
            <w:tcW w:w="3712" w:type="dxa"/>
          </w:tcPr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 xml:space="preserve">Workplace </w:t>
            </w:r>
          </w:p>
        </w:tc>
        <w:tc>
          <w:tcPr>
            <w:tcW w:w="4956" w:type="dxa"/>
          </w:tcPr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 xml:space="preserve">Jobs Unit U </w:t>
            </w:r>
            <w:r w:rsidR="00D52C81">
              <w:t>Lesson 3</w:t>
            </w:r>
          </w:p>
          <w:p w:rsidR="00D52C81" w:rsidRDefault="00D52C81" w:rsidP="00D52C81">
            <w:pPr>
              <w:pStyle w:val="ListParagraph"/>
              <w:ind w:left="360"/>
            </w:pPr>
            <w:r>
              <w:t xml:space="preserve">Present vocabulary and use question and answer 2 to describe where someone works in certain roles. </w:t>
            </w:r>
          </w:p>
          <w:p w:rsidR="00D52C81" w:rsidRDefault="00D52C81" w:rsidP="00D52C81">
            <w:pPr>
              <w:pStyle w:val="ListParagraph"/>
              <w:ind w:left="360"/>
            </w:pPr>
            <w:r>
              <w:lastRenderedPageBreak/>
              <w:t xml:space="preserve">Provide resource saved in folder- children can cut and stick pictures into books and write sentence to say who works at the place. Encourage children to consider whether they are f or m. </w:t>
            </w:r>
          </w:p>
        </w:tc>
      </w:tr>
      <w:tr w:rsidR="00B54740" w:rsidTr="00CF1A6A">
        <w:tc>
          <w:tcPr>
            <w:tcW w:w="1788" w:type="dxa"/>
          </w:tcPr>
          <w:p w:rsidR="00B54740" w:rsidRDefault="00D172C8" w:rsidP="00B54740">
            <w:pPr>
              <w:jc w:val="center"/>
            </w:pPr>
            <w:r>
              <w:lastRenderedPageBreak/>
              <w:t>7</w:t>
            </w:r>
          </w:p>
        </w:tc>
        <w:tc>
          <w:tcPr>
            <w:tcW w:w="3712" w:type="dxa"/>
          </w:tcPr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 xml:space="preserve">How am I feeling? </w:t>
            </w:r>
          </w:p>
        </w:tc>
        <w:tc>
          <w:tcPr>
            <w:tcW w:w="4956" w:type="dxa"/>
          </w:tcPr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 xml:space="preserve">Use PowerPoint saved in folder. </w:t>
            </w:r>
          </w:p>
        </w:tc>
      </w:tr>
      <w:tr w:rsidR="00B54740" w:rsidTr="00735EFA">
        <w:trPr>
          <w:trHeight w:val="571"/>
        </w:trPr>
        <w:tc>
          <w:tcPr>
            <w:tcW w:w="1788" w:type="dxa"/>
          </w:tcPr>
          <w:p w:rsidR="00B54740" w:rsidRDefault="00D172C8" w:rsidP="00B54740">
            <w:pPr>
              <w:jc w:val="center"/>
            </w:pPr>
            <w:r>
              <w:t>8, 9 and 10</w:t>
            </w:r>
            <w:bookmarkStart w:id="0" w:name="_GoBack"/>
            <w:bookmarkEnd w:id="0"/>
          </w:p>
        </w:tc>
        <w:tc>
          <w:tcPr>
            <w:tcW w:w="3712" w:type="dxa"/>
          </w:tcPr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 xml:space="preserve">Extended writing piece </w:t>
            </w:r>
          </w:p>
        </w:tc>
        <w:tc>
          <w:tcPr>
            <w:tcW w:w="4956" w:type="dxa"/>
          </w:tcPr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 xml:space="preserve">Provide model and scaffold for children to write about their future e.g. job </w:t>
            </w:r>
          </w:p>
          <w:p w:rsidR="00B54740" w:rsidRDefault="00B54740" w:rsidP="00B54740">
            <w:pPr>
              <w:pStyle w:val="ListParagraph"/>
              <w:numPr>
                <w:ilvl w:val="0"/>
                <w:numId w:val="5"/>
              </w:numPr>
            </w:pPr>
            <w:r>
              <w:t>Children to be given time to follow school’s writing process to produce a more extended piece of writing for the children.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D52C81" w:rsidRDefault="00D52C81" w:rsidP="00D52C81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When talking about what job someone does in French, you don’t need an indefinite article — “</w:t>
            </w:r>
            <w:r w:rsidRPr="00BB3E06">
              <w:rPr>
                <w:i/>
                <w:sz w:val="20"/>
                <w:szCs w:val="20"/>
              </w:rPr>
              <w:t xml:space="preserve">Il </w:t>
            </w:r>
            <w:proofErr w:type="spellStart"/>
            <w:r w:rsidRPr="00BB3E06">
              <w:rPr>
                <w:i/>
                <w:sz w:val="20"/>
                <w:szCs w:val="20"/>
              </w:rPr>
              <w:t>est</w:t>
            </w:r>
            <w:proofErr w:type="spellEnd"/>
            <w:r w:rsidRPr="00BB3E0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BB3E06">
              <w:rPr>
                <w:i/>
                <w:sz w:val="20"/>
                <w:szCs w:val="20"/>
              </w:rPr>
              <w:t>fermier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” (“He’s a farmer.”).  This also applies to when you’re saying what you’d like to do — “</w:t>
            </w:r>
            <w:r w:rsidRPr="00BB3E06">
              <w:rPr>
                <w:i/>
                <w:sz w:val="20"/>
                <w:szCs w:val="20"/>
              </w:rPr>
              <w:t xml:space="preserve">Je </w:t>
            </w:r>
            <w:proofErr w:type="spellStart"/>
            <w:r w:rsidRPr="00BB3E06">
              <w:rPr>
                <w:i/>
                <w:sz w:val="20"/>
                <w:szCs w:val="20"/>
              </w:rPr>
              <w:t>veux</w:t>
            </w:r>
            <w:proofErr w:type="spellEnd"/>
            <w:r w:rsidRPr="00BB3E0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BB3E06">
              <w:rPr>
                <w:i/>
                <w:sz w:val="20"/>
                <w:szCs w:val="20"/>
              </w:rPr>
              <w:t>être</w:t>
            </w:r>
            <w:proofErr w:type="spellEnd"/>
            <w:r w:rsidRPr="00BB3E06"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astronaute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” (“I want to be an astronaut.”).</w:t>
            </w:r>
          </w:p>
          <w:p w:rsidR="00D52C81" w:rsidRPr="006A21C0" w:rsidRDefault="00D52C81" w:rsidP="00D52C81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When talking about what job someone does in French, you don’t need an indefinite article — “</w:t>
            </w:r>
            <w:r w:rsidRPr="00EF1604">
              <w:rPr>
                <w:i/>
                <w:sz w:val="20"/>
                <w:szCs w:val="20"/>
              </w:rPr>
              <w:t>Il</w:t>
            </w:r>
            <w:r w:rsidRPr="00BB3E0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BB3E06">
              <w:rPr>
                <w:i/>
                <w:sz w:val="20"/>
                <w:szCs w:val="20"/>
              </w:rPr>
              <w:t>est</w:t>
            </w:r>
            <w:proofErr w:type="spellEnd"/>
            <w:r w:rsidRPr="00BB3E06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coiffeur.</w:t>
            </w:r>
            <w:r>
              <w:rPr>
                <w:sz w:val="20"/>
                <w:szCs w:val="20"/>
              </w:rPr>
              <w:t xml:space="preserve">” (“He’s a hairdresser.”).  </w:t>
            </w:r>
          </w:p>
          <w:p w:rsidR="00DE6CB2" w:rsidRPr="00D52C81" w:rsidRDefault="00D52C81" w:rsidP="00D52C81">
            <w:pPr>
              <w:pStyle w:val="ListParagraph"/>
              <w:numPr>
                <w:ilvl w:val="0"/>
                <w:numId w:val="8"/>
              </w:numPr>
            </w:pPr>
            <w:r>
              <w:rPr>
                <w:sz w:val="20"/>
                <w:szCs w:val="20"/>
              </w:rPr>
              <w:t>“</w:t>
            </w:r>
            <w:r>
              <w:rPr>
                <w:i/>
                <w:sz w:val="20"/>
                <w:szCs w:val="20"/>
              </w:rPr>
              <w:t>U</w:t>
            </w:r>
            <w:r w:rsidRPr="006A21C0">
              <w:rPr>
                <w:i/>
                <w:sz w:val="20"/>
                <w:szCs w:val="20"/>
              </w:rPr>
              <w:t xml:space="preserve">n </w:t>
            </w:r>
            <w:proofErr w:type="spellStart"/>
            <w:r w:rsidRPr="006A21C0">
              <w:rPr>
                <w:i/>
                <w:sz w:val="20"/>
                <w:szCs w:val="20"/>
              </w:rPr>
              <w:t>instituteur</w:t>
            </w:r>
            <w:proofErr w:type="spellEnd"/>
            <w:r>
              <w:rPr>
                <w:sz w:val="20"/>
                <w:szCs w:val="20"/>
              </w:rPr>
              <w:t>” and “</w:t>
            </w:r>
            <w:proofErr w:type="spellStart"/>
            <w:r w:rsidRPr="006A21C0">
              <w:rPr>
                <w:i/>
                <w:sz w:val="20"/>
                <w:szCs w:val="20"/>
              </w:rPr>
              <w:t>une</w:t>
            </w:r>
            <w:proofErr w:type="spellEnd"/>
            <w:r w:rsidRPr="006A21C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A21C0">
              <w:rPr>
                <w:i/>
                <w:sz w:val="20"/>
                <w:szCs w:val="20"/>
              </w:rPr>
              <w:t>institutrice</w:t>
            </w:r>
            <w:proofErr w:type="spellEnd"/>
            <w:r>
              <w:rPr>
                <w:sz w:val="20"/>
                <w:szCs w:val="20"/>
              </w:rPr>
              <w:t>” are the words for male and female teacher, respectively.  However, they can only be used for primary school teachers.  You would use “</w:t>
            </w:r>
            <w:r w:rsidRPr="006A21C0">
              <w:rPr>
                <w:i/>
                <w:sz w:val="20"/>
                <w:szCs w:val="20"/>
              </w:rPr>
              <w:t>un</w:t>
            </w:r>
            <w:r>
              <w:rPr>
                <w:i/>
                <w:sz w:val="20"/>
                <w:szCs w:val="20"/>
              </w:rPr>
              <w:t xml:space="preserve"> / </w:t>
            </w:r>
            <w:proofErr w:type="spellStart"/>
            <w:r>
              <w:rPr>
                <w:i/>
                <w:sz w:val="20"/>
                <w:szCs w:val="20"/>
              </w:rPr>
              <w:t>une</w:t>
            </w:r>
            <w:proofErr w:type="spellEnd"/>
            <w:r w:rsidRPr="006A21C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A21C0">
              <w:rPr>
                <w:i/>
                <w:sz w:val="20"/>
                <w:szCs w:val="20"/>
              </w:rPr>
              <w:t>professeur</w:t>
            </w:r>
            <w:proofErr w:type="spellEnd"/>
            <w:r>
              <w:rPr>
                <w:sz w:val="20"/>
                <w:szCs w:val="20"/>
              </w:rPr>
              <w:t>” to refer to a secondary school teacher.</w:t>
            </w:r>
          </w:p>
          <w:p w:rsidR="00D52C81" w:rsidRDefault="00D52C81" w:rsidP="00D52C81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 w:val="20"/>
                <w:szCs w:val="20"/>
              </w:rPr>
            </w:pPr>
            <w:r w:rsidRPr="00F83953">
              <w:rPr>
                <w:rFonts w:cs="Times New Roman"/>
                <w:sz w:val="20"/>
                <w:szCs w:val="20"/>
              </w:rPr>
              <w:t>“</w:t>
            </w:r>
            <w:proofErr w:type="spellStart"/>
            <w:r w:rsidRPr="00F83953">
              <w:rPr>
                <w:rFonts w:cs="Times New Roman"/>
                <w:i/>
                <w:sz w:val="20"/>
                <w:szCs w:val="20"/>
              </w:rPr>
              <w:t>L’hôpital</w:t>
            </w:r>
            <w:proofErr w:type="spellEnd"/>
            <w:r w:rsidRPr="00F83953">
              <w:rPr>
                <w:rFonts w:cs="Times New Roman"/>
                <w:sz w:val="20"/>
                <w:szCs w:val="20"/>
              </w:rPr>
              <w:t>”</w:t>
            </w:r>
            <w:r>
              <w:rPr>
                <w:rFonts w:cs="Times New Roman"/>
                <w:sz w:val="20"/>
                <w:szCs w:val="20"/>
              </w:rPr>
              <w:t xml:space="preserve"> (“the hospital”) is a masculine noun — the “</w:t>
            </w:r>
            <w:r w:rsidRPr="00F83953">
              <w:rPr>
                <w:rFonts w:cs="Times New Roman"/>
                <w:i/>
                <w:sz w:val="20"/>
                <w:szCs w:val="20"/>
              </w:rPr>
              <w:t>e</w:t>
            </w:r>
            <w:r>
              <w:rPr>
                <w:rFonts w:cs="Times New Roman"/>
                <w:sz w:val="20"/>
                <w:szCs w:val="20"/>
              </w:rPr>
              <w:t>” from “</w:t>
            </w:r>
            <w:r w:rsidRPr="00F83953">
              <w:rPr>
                <w:rFonts w:cs="Times New Roman"/>
                <w:i/>
                <w:sz w:val="20"/>
                <w:szCs w:val="20"/>
              </w:rPr>
              <w:t>le</w:t>
            </w:r>
            <w:r>
              <w:rPr>
                <w:rFonts w:cs="Times New Roman"/>
                <w:sz w:val="20"/>
                <w:szCs w:val="20"/>
              </w:rPr>
              <w:t>” has been replaced with an apostrophe because “</w:t>
            </w:r>
            <w:proofErr w:type="spellStart"/>
            <w:r w:rsidRPr="00F83953">
              <w:rPr>
                <w:rFonts w:cs="Times New Roman"/>
                <w:i/>
                <w:sz w:val="20"/>
                <w:szCs w:val="20"/>
              </w:rPr>
              <w:t>hôpital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” begins with a mute h — see p.55 and p.62 of the </w:t>
            </w:r>
            <w:r w:rsidRPr="007F4B97">
              <w:rPr>
                <w:rFonts w:cs="Times New Roman"/>
                <w:b/>
                <w:sz w:val="20"/>
                <w:szCs w:val="20"/>
              </w:rPr>
              <w:t>Teacher Handbook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  <w:p w:rsidR="00D52C81" w:rsidRDefault="00D52C81" w:rsidP="00D52C81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“</w:t>
            </w:r>
            <w:proofErr w:type="spellStart"/>
            <w:r>
              <w:rPr>
                <w:rFonts w:cs="Times New Roman"/>
                <w:i/>
                <w:sz w:val="20"/>
                <w:szCs w:val="20"/>
              </w:rPr>
              <w:t>L</w:t>
            </w:r>
            <w:r w:rsidRPr="00BB61AC">
              <w:rPr>
                <w:rFonts w:cs="Times New Roman"/>
                <w:i/>
                <w:sz w:val="20"/>
                <w:szCs w:val="20"/>
              </w:rPr>
              <w:t>’école</w:t>
            </w:r>
            <w:proofErr w:type="spellEnd"/>
            <w:r>
              <w:rPr>
                <w:rFonts w:cs="Times New Roman"/>
                <w:sz w:val="20"/>
                <w:szCs w:val="20"/>
              </w:rPr>
              <w:t>” (“the school”) — this is a feminine noun.  The “</w:t>
            </w:r>
            <w:r w:rsidRPr="00BB61AC">
              <w:rPr>
                <w:rFonts w:cs="Times New Roman"/>
                <w:i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” from “</w:t>
            </w:r>
            <w:r w:rsidRPr="00F83953">
              <w:rPr>
                <w:rFonts w:cs="Times New Roman"/>
                <w:i/>
                <w:sz w:val="20"/>
                <w:szCs w:val="20"/>
              </w:rPr>
              <w:t>l</w:t>
            </w:r>
            <w:r>
              <w:rPr>
                <w:rFonts w:cs="Times New Roman"/>
                <w:i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” has been replaced with an apostrophe because “</w:t>
            </w:r>
            <w:proofErr w:type="spellStart"/>
            <w:r>
              <w:rPr>
                <w:rFonts w:cs="Times New Roman"/>
                <w:i/>
                <w:sz w:val="20"/>
                <w:szCs w:val="20"/>
              </w:rPr>
              <w:t>école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” begins with vowel — see p.55 of the </w:t>
            </w:r>
            <w:r w:rsidRPr="007F4B97">
              <w:rPr>
                <w:rFonts w:cs="Times New Roman"/>
                <w:b/>
                <w:sz w:val="20"/>
                <w:szCs w:val="20"/>
              </w:rPr>
              <w:t>Teacher Handbook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  <w:p w:rsidR="00D52C81" w:rsidRPr="00D52C81" w:rsidRDefault="00D52C81" w:rsidP="00D52C81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Take care when writing “</w:t>
            </w:r>
            <w:r w:rsidRPr="00F64E62">
              <w:rPr>
                <w:rFonts w:cs="Times New Roman"/>
                <w:i/>
                <w:sz w:val="20"/>
                <w:szCs w:val="20"/>
              </w:rPr>
              <w:t>le salon de coiffure</w:t>
            </w:r>
            <w:r>
              <w:rPr>
                <w:rFonts w:cs="Times New Roman"/>
                <w:sz w:val="20"/>
                <w:szCs w:val="20"/>
              </w:rPr>
              <w:t>” (“the hairdressing salon”) — “</w:t>
            </w:r>
            <w:r>
              <w:rPr>
                <w:rFonts w:cs="Times New Roman"/>
                <w:i/>
                <w:sz w:val="20"/>
                <w:szCs w:val="20"/>
              </w:rPr>
              <w:t>c</w:t>
            </w:r>
            <w:r w:rsidRPr="00F64E62">
              <w:rPr>
                <w:rFonts w:cs="Times New Roman"/>
                <w:i/>
                <w:sz w:val="20"/>
                <w:szCs w:val="20"/>
              </w:rPr>
              <w:t>oiff</w:t>
            </w:r>
            <w:r w:rsidRPr="001938FA">
              <w:rPr>
                <w:rFonts w:cs="Times New Roman"/>
                <w:b/>
                <w:i/>
                <w:sz w:val="20"/>
                <w:szCs w:val="20"/>
              </w:rPr>
              <w:t>ure</w:t>
            </w:r>
            <w:r>
              <w:rPr>
                <w:rFonts w:cs="Times New Roman"/>
                <w:sz w:val="20"/>
                <w:szCs w:val="20"/>
              </w:rPr>
              <w:t>” (“hairdressing”) is not spelt the same as “</w:t>
            </w:r>
            <w:r w:rsidRPr="00F64E62">
              <w:rPr>
                <w:rFonts w:cs="Times New Roman"/>
                <w:i/>
                <w:sz w:val="20"/>
                <w:szCs w:val="20"/>
              </w:rPr>
              <w:t>un coiff</w:t>
            </w:r>
            <w:r w:rsidRPr="001938FA">
              <w:rPr>
                <w:rFonts w:cs="Times New Roman"/>
                <w:b/>
                <w:i/>
                <w:sz w:val="20"/>
                <w:szCs w:val="20"/>
              </w:rPr>
              <w:t>eur</w:t>
            </w:r>
            <w:r>
              <w:rPr>
                <w:rFonts w:cs="Times New Roman"/>
                <w:sz w:val="20"/>
                <w:szCs w:val="20"/>
              </w:rPr>
              <w:t>” (“a hairdresser”).</w:t>
            </w:r>
          </w:p>
        </w:tc>
      </w:tr>
    </w:tbl>
    <w:p w:rsidR="00264A38" w:rsidRDefault="00264A38"/>
    <w:p w:rsidR="006C75AC" w:rsidRPr="00C57251" w:rsidRDefault="006C75AC"/>
    <w:sectPr w:rsidR="006C75AC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C93696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12161A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533448"/>
    <w:multiLevelType w:val="hybridMultilevel"/>
    <w:tmpl w:val="51BE58D8"/>
    <w:lvl w:ilvl="0" w:tplc="B66CCD14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69D47FD"/>
    <w:multiLevelType w:val="hybridMultilevel"/>
    <w:tmpl w:val="E93672FC"/>
    <w:lvl w:ilvl="0" w:tplc="8D1A9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229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384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4A7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767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48A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E6E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7E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78E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1625FB9"/>
    <w:multiLevelType w:val="hybridMultilevel"/>
    <w:tmpl w:val="8E642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AF1FB3"/>
    <w:multiLevelType w:val="hybridMultilevel"/>
    <w:tmpl w:val="7AB04DFA"/>
    <w:lvl w:ilvl="0" w:tplc="EE5E1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D43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BA6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DCA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C47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FE1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60AB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86CB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503E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90911C6"/>
    <w:multiLevelType w:val="hybridMultilevel"/>
    <w:tmpl w:val="9E3E33D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82852"/>
    <w:multiLevelType w:val="hybridMultilevel"/>
    <w:tmpl w:val="9B14E5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B0659E"/>
    <w:multiLevelType w:val="hybridMultilevel"/>
    <w:tmpl w:val="4910434C"/>
    <w:lvl w:ilvl="0" w:tplc="441AF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88A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625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C8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366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1C1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E1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CA0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A5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C106A25"/>
    <w:multiLevelType w:val="hybridMultilevel"/>
    <w:tmpl w:val="9BF21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416B4E"/>
    <w:multiLevelType w:val="hybridMultilevel"/>
    <w:tmpl w:val="E7F2C5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E852FF"/>
    <w:multiLevelType w:val="hybridMultilevel"/>
    <w:tmpl w:val="DB4A2A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6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01A78"/>
    <w:rsid w:val="000422C4"/>
    <w:rsid w:val="000D080B"/>
    <w:rsid w:val="00162E10"/>
    <w:rsid w:val="001C3E18"/>
    <w:rsid w:val="001F6C82"/>
    <w:rsid w:val="00212684"/>
    <w:rsid w:val="00264A38"/>
    <w:rsid w:val="002A6702"/>
    <w:rsid w:val="00307808"/>
    <w:rsid w:val="003817D3"/>
    <w:rsid w:val="003929A8"/>
    <w:rsid w:val="003C4736"/>
    <w:rsid w:val="003E372C"/>
    <w:rsid w:val="0044588C"/>
    <w:rsid w:val="00451E09"/>
    <w:rsid w:val="00480774"/>
    <w:rsid w:val="004B13D4"/>
    <w:rsid w:val="004B1949"/>
    <w:rsid w:val="004D2DB0"/>
    <w:rsid w:val="004F3085"/>
    <w:rsid w:val="00544FCE"/>
    <w:rsid w:val="00556AF6"/>
    <w:rsid w:val="005A2F1E"/>
    <w:rsid w:val="005E415B"/>
    <w:rsid w:val="00653455"/>
    <w:rsid w:val="006C75AC"/>
    <w:rsid w:val="006D71B7"/>
    <w:rsid w:val="00742B57"/>
    <w:rsid w:val="00775A66"/>
    <w:rsid w:val="00792828"/>
    <w:rsid w:val="007C040D"/>
    <w:rsid w:val="007C61A0"/>
    <w:rsid w:val="00826DB8"/>
    <w:rsid w:val="008769FE"/>
    <w:rsid w:val="008849E9"/>
    <w:rsid w:val="00955CFF"/>
    <w:rsid w:val="00967C27"/>
    <w:rsid w:val="00A81F5D"/>
    <w:rsid w:val="00A900D8"/>
    <w:rsid w:val="00AE1DDA"/>
    <w:rsid w:val="00B16B37"/>
    <w:rsid w:val="00B451B1"/>
    <w:rsid w:val="00B535E2"/>
    <w:rsid w:val="00B54740"/>
    <w:rsid w:val="00BE2E22"/>
    <w:rsid w:val="00C17B78"/>
    <w:rsid w:val="00C57251"/>
    <w:rsid w:val="00C670AE"/>
    <w:rsid w:val="00CA3DB1"/>
    <w:rsid w:val="00CF1A6A"/>
    <w:rsid w:val="00D11A9E"/>
    <w:rsid w:val="00D172C8"/>
    <w:rsid w:val="00D4529A"/>
    <w:rsid w:val="00D51659"/>
    <w:rsid w:val="00D52C81"/>
    <w:rsid w:val="00D976CA"/>
    <w:rsid w:val="00DE6CB2"/>
    <w:rsid w:val="00DF20A8"/>
    <w:rsid w:val="00E21288"/>
    <w:rsid w:val="00E60AC9"/>
    <w:rsid w:val="00E727F7"/>
    <w:rsid w:val="00EC4047"/>
    <w:rsid w:val="00F8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0657C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FC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FCE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C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C2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17B7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D5C46C50-D116-4D77-A819-407B8D4AFD37}"/>
</file>

<file path=customXml/itemProps2.xml><?xml version="1.0" encoding="utf-8"?>
<ds:datastoreItem xmlns:ds="http://schemas.openxmlformats.org/officeDocument/2006/customXml" ds:itemID="{176809C4-64E0-403A-B286-6A8827316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F866FA-3EBF-43E6-B653-E889B7AE22DD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Joanne Newton</cp:lastModifiedBy>
  <cp:revision>12</cp:revision>
  <dcterms:created xsi:type="dcterms:W3CDTF">2022-06-20T19:05:00Z</dcterms:created>
  <dcterms:modified xsi:type="dcterms:W3CDTF">2025-06-10T20:39:00Z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